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91" w:rsidRPr="00311B91" w:rsidRDefault="00311B91" w:rsidP="004D291B">
      <w:pPr>
        <w:pStyle w:val="Titel"/>
        <w:rPr>
          <w:lang w:eastAsia="en-US"/>
        </w:rPr>
      </w:pPr>
    </w:p>
    <w:p w:rsidR="000565A4" w:rsidRPr="000565A4" w:rsidRDefault="00E421FD" w:rsidP="00311B91">
      <w:pPr>
        <w:autoSpaceDE w:val="0"/>
        <w:autoSpaceDN w:val="0"/>
        <w:adjustRightInd w:val="0"/>
        <w:spacing w:line="360" w:lineRule="auto"/>
        <w:jc w:val="center"/>
        <w:rPr>
          <w:rFonts w:ascii="Arial" w:hAnsi="Arial" w:cs="Arial"/>
          <w:b/>
          <w:sz w:val="22"/>
          <w:szCs w:val="22"/>
        </w:rPr>
      </w:pPr>
      <w:r>
        <w:rPr>
          <w:rFonts w:ascii="Arial" w:hAnsi="Arial"/>
          <w:b/>
          <w:sz w:val="22"/>
          <w:szCs w:val="22"/>
        </w:rPr>
        <w:t xml:space="preserve">New products in the MB Building Kit System </w:t>
      </w:r>
    </w:p>
    <w:p w:rsidR="000565A4" w:rsidRDefault="00502B5C"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Aesthetically pleasing and functional – the new item components for factory equipment </w:t>
      </w:r>
      <w:bookmarkStart w:id="0" w:name="_GoBack"/>
      <w:bookmarkEnd w:id="0"/>
      <w:r>
        <w:rPr>
          <w:rFonts w:ascii="Arial" w:hAnsi="Arial"/>
          <w:b/>
          <w:sz w:val="36"/>
          <w:szCs w:val="36"/>
        </w:rPr>
        <w:t>engineering</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9C2F18" w:rsidRPr="00B906C1" w:rsidRDefault="000D3EDE" w:rsidP="009C2F18">
      <w:pPr>
        <w:autoSpaceDE w:val="0"/>
        <w:autoSpaceDN w:val="0"/>
        <w:adjustRightInd w:val="0"/>
        <w:spacing w:line="360" w:lineRule="auto"/>
        <w:jc w:val="both"/>
        <w:rPr>
          <w:rFonts w:ascii="Arial" w:hAnsi="Arial" w:cs="Arial"/>
          <w:b/>
          <w:color w:val="000000"/>
          <w:sz w:val="22"/>
          <w:szCs w:val="22"/>
        </w:rPr>
      </w:pPr>
      <w:proofErr w:type="gramStart"/>
      <w:r>
        <w:rPr>
          <w:rFonts w:ascii="Arial" w:hAnsi="Arial"/>
          <w:b/>
          <w:color w:val="000000"/>
          <w:sz w:val="22"/>
          <w:szCs w:val="22"/>
        </w:rPr>
        <w:t>item</w:t>
      </w:r>
      <w:proofErr w:type="gramEnd"/>
      <w:r>
        <w:rPr>
          <w:rFonts w:ascii="Arial" w:hAnsi="Arial"/>
          <w:b/>
          <w:color w:val="000000"/>
          <w:sz w:val="22"/>
          <w:szCs w:val="22"/>
        </w:rPr>
        <w:t xml:space="preserve"> is presenting its latest </w:t>
      </w:r>
      <w:hyperlink r:id="rId9" w:history="1">
        <w:r>
          <w:rPr>
            <w:rStyle w:val="Hyperlink"/>
            <w:rFonts w:ascii="Arial" w:hAnsi="Arial"/>
            <w:b/>
            <w:sz w:val="22"/>
            <w:szCs w:val="22"/>
          </w:rPr>
          <w:t>new products for factory equipment engineering</w:t>
        </w:r>
      </w:hyperlink>
      <w:r>
        <w:rPr>
          <w:rFonts w:ascii="Arial" w:hAnsi="Arial"/>
          <w:b/>
          <w:color w:val="000000"/>
          <w:sz w:val="22"/>
          <w:szCs w:val="22"/>
        </w:rPr>
        <w:t>, including innovative profiles and additional fastening elements. The market leader in building kit systems for industrial applications has expanded its portfolio with multiple components that make it easier for mechanical engineers to design and build even better constructions. The list of additions to the item portfolio includes Profiles 8 NO light, Hinge 8 N/NO Al PP4 light, Angle Bracket 8 St and Bracket 8 flat St, as well as Base Plates 8, white aluminium and Knuckle Foot D80, M12x100, white aluminium. The new products help make constructions stronger, more robust and, thanks to their surface design, easier to clean.</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214EB4" w:rsidRDefault="00B465DA" w:rsidP="00127C92">
      <w:pPr>
        <w:spacing w:line="360" w:lineRule="auto"/>
        <w:jc w:val="both"/>
        <w:rPr>
          <w:rFonts w:ascii="Arial" w:hAnsi="Arial" w:cs="Arial"/>
          <w:sz w:val="22"/>
          <w:szCs w:val="18"/>
        </w:rPr>
      </w:pPr>
      <w:r>
        <w:rPr>
          <w:rFonts w:ascii="Arial" w:hAnsi="Arial"/>
          <w:sz w:val="22"/>
          <w:szCs w:val="18"/>
        </w:rPr>
        <w:t xml:space="preserve">The modular components in the item MB Building Kit System are constantly being expanded and adapted to new requirements. The new Profile 8 NO light, for example, is particularly easy to clean thanks to its smooth, unbroken surface, which radiates elegance and offers an appealing design for frames, enclosures and doors. The profile comes in two designs, 40x40 3NO light and 80x40 5NO light, which each feature one open and three or five closed grooves respectively. No milling is needed to open the profile groove cover – a hand tool such as the item T-Slot Opener 8NO is all it takes. Profiles 8 NO light are ideal for use with the new Hinge 8 N/NO Al PP4. In this case, users only need to open up a small area of the groove cover for fixings. Compared to Hinge 8 Al PP4, light duty, Hinge 8 N/NO Al PP4 light has a shorter anti-torsion feature. It comes as a complete set with fastening materials and can carry a load of up to 500 N. When fitted between a door and the frame, there is a narrow door gap of 4 mm. The fastening screws are concealed on the outside of the door by the profiles and are covered over when the door is closed, making them inaccessible. This creates door frames with smooth surfaces without visible screws, openings or fixing components. </w:t>
      </w:r>
    </w:p>
    <w:p w:rsidR="00214EB4" w:rsidRDefault="00214EB4" w:rsidP="00127C92">
      <w:pPr>
        <w:spacing w:line="360" w:lineRule="auto"/>
        <w:jc w:val="both"/>
        <w:rPr>
          <w:rFonts w:ascii="Arial" w:hAnsi="Arial" w:cs="Arial"/>
          <w:sz w:val="22"/>
          <w:szCs w:val="18"/>
          <w:lang w:eastAsia="en-US"/>
        </w:rPr>
      </w:pPr>
    </w:p>
    <w:p w:rsidR="000D3EDE" w:rsidRPr="004E2308" w:rsidRDefault="000D3EDE" w:rsidP="00127C92">
      <w:pPr>
        <w:spacing w:line="360" w:lineRule="auto"/>
        <w:jc w:val="both"/>
        <w:rPr>
          <w:rFonts w:ascii="Arial" w:hAnsi="Arial" w:cs="Arial"/>
          <w:b/>
          <w:sz w:val="22"/>
          <w:szCs w:val="18"/>
        </w:rPr>
      </w:pPr>
      <w:r>
        <w:rPr>
          <w:rFonts w:ascii="Arial" w:hAnsi="Arial"/>
          <w:b/>
          <w:sz w:val="22"/>
          <w:szCs w:val="18"/>
        </w:rPr>
        <w:t>Reinforcing constructions</w:t>
      </w:r>
    </w:p>
    <w:p w:rsidR="006C3431" w:rsidRDefault="006C3431" w:rsidP="00127C92">
      <w:pPr>
        <w:spacing w:line="360" w:lineRule="auto"/>
        <w:jc w:val="both"/>
        <w:rPr>
          <w:rFonts w:ascii="Arial" w:hAnsi="Arial" w:cs="Arial"/>
          <w:sz w:val="22"/>
          <w:szCs w:val="18"/>
        </w:rPr>
      </w:pPr>
      <w:proofErr w:type="gramStart"/>
      <w:r>
        <w:rPr>
          <w:rFonts w:ascii="Arial" w:hAnsi="Arial"/>
          <w:sz w:val="22"/>
          <w:szCs w:val="18"/>
        </w:rPr>
        <w:t>item</w:t>
      </w:r>
      <w:proofErr w:type="gramEnd"/>
      <w:r>
        <w:rPr>
          <w:rFonts w:ascii="Arial" w:hAnsi="Arial"/>
          <w:sz w:val="22"/>
          <w:szCs w:val="18"/>
        </w:rPr>
        <w:t xml:space="preserve"> now offers the new Angle Bracket 8 40 St and Bracket 8 80x40 flat St made of steel as a simple means of quickly reinforcing profile connections. These fastening </w:t>
      </w:r>
      <w:r>
        <w:rPr>
          <w:rFonts w:ascii="Arial" w:hAnsi="Arial"/>
          <w:sz w:val="22"/>
          <w:szCs w:val="18"/>
        </w:rPr>
        <w:lastRenderedPageBreak/>
        <w:t xml:space="preserve">elements can be retrofitted, perfectly accommodate both static and dynamic loads, and can be ideally combined with shelves and other panels. </w:t>
      </w:r>
    </w:p>
    <w:p w:rsidR="007303BB" w:rsidRDefault="007303BB" w:rsidP="00127C92">
      <w:pPr>
        <w:spacing w:line="360" w:lineRule="auto"/>
        <w:jc w:val="both"/>
        <w:rPr>
          <w:rFonts w:ascii="Arial" w:hAnsi="Arial" w:cs="Arial"/>
          <w:sz w:val="22"/>
          <w:szCs w:val="18"/>
          <w:lang w:eastAsia="en-US"/>
        </w:rPr>
      </w:pPr>
    </w:p>
    <w:p w:rsidR="004E2308" w:rsidRPr="004E2308" w:rsidRDefault="004E2308" w:rsidP="00127C92">
      <w:pPr>
        <w:spacing w:line="360" w:lineRule="auto"/>
        <w:jc w:val="both"/>
        <w:rPr>
          <w:rFonts w:ascii="Arial" w:hAnsi="Arial" w:cs="Arial"/>
          <w:b/>
          <w:sz w:val="22"/>
          <w:szCs w:val="18"/>
        </w:rPr>
      </w:pPr>
      <w:r>
        <w:rPr>
          <w:rFonts w:ascii="Arial" w:hAnsi="Arial"/>
          <w:b/>
          <w:sz w:val="22"/>
          <w:szCs w:val="18"/>
        </w:rPr>
        <w:t>A perfect footing every time</w:t>
      </w:r>
    </w:p>
    <w:p w:rsidR="007303BB" w:rsidRDefault="007303BB" w:rsidP="00127C92">
      <w:pPr>
        <w:spacing w:line="360" w:lineRule="auto"/>
        <w:jc w:val="both"/>
        <w:rPr>
          <w:rFonts w:ascii="Arial" w:hAnsi="Arial" w:cs="Arial"/>
          <w:sz w:val="22"/>
          <w:szCs w:val="18"/>
        </w:rPr>
      </w:pPr>
      <w:r>
        <w:rPr>
          <w:rFonts w:ascii="Arial" w:hAnsi="Arial"/>
          <w:sz w:val="22"/>
          <w:szCs w:val="18"/>
        </w:rPr>
        <w:t xml:space="preserve">The new Base Plate 8, white aluminium and Knuckle Foot D80, M12x100, white aluminium ensure constructions and frames are always held securely in place and have an optimum footing – including on uneven floors. The 16mm-thick Base Plate is available in either the 80x40 or 80x80 design, is made of die-cast zinc and screws into the core bore at the end of the profile. The available thread sizes M10, M12 and M16 ensure the feet and plates are suitable for universal use. The white aluminium colour of the Base Plates ensures the finishing touch at the end of item aluminium profiles matches the overall look. Both castors and feet can be fitted into the central threaded bore. The new Knuckle Foot D80, M12x100, white aluminium supports </w:t>
      </w:r>
      <w:proofErr w:type="spellStart"/>
      <w:r>
        <w:rPr>
          <w:rFonts w:ascii="Arial" w:hAnsi="Arial"/>
          <w:sz w:val="22"/>
          <w:szCs w:val="18"/>
        </w:rPr>
        <w:t>stepless</w:t>
      </w:r>
      <w:proofErr w:type="spellEnd"/>
      <w:r>
        <w:rPr>
          <w:rFonts w:ascii="Arial" w:hAnsi="Arial"/>
          <w:sz w:val="22"/>
          <w:szCs w:val="18"/>
        </w:rPr>
        <w:t xml:space="preserve"> height adjustment thanks to its thread, adapting perfectly to unevenness in floors with its tilting ball socket. </w:t>
      </w:r>
    </w:p>
    <w:p w:rsidR="00F02722" w:rsidRDefault="00F02722" w:rsidP="00127C92">
      <w:pPr>
        <w:spacing w:line="360" w:lineRule="auto"/>
        <w:jc w:val="both"/>
        <w:rPr>
          <w:rFonts w:ascii="Arial" w:hAnsi="Arial" w:cs="Arial"/>
          <w:sz w:val="22"/>
          <w:szCs w:val="18"/>
          <w:lang w:eastAsia="en-US"/>
        </w:rPr>
      </w:pPr>
    </w:p>
    <w:p w:rsidR="00B465DA" w:rsidRDefault="00B465DA" w:rsidP="00127C92">
      <w:pPr>
        <w:spacing w:line="360" w:lineRule="auto"/>
        <w:jc w:val="both"/>
        <w:rPr>
          <w:rFonts w:ascii="Arial" w:hAnsi="Arial" w:cs="Arial"/>
          <w:sz w:val="22"/>
          <w:szCs w:val="18"/>
          <w:lang w:eastAsia="en-US"/>
        </w:rPr>
      </w:pPr>
    </w:p>
    <w:p w:rsidR="00D9284C" w:rsidRDefault="000F294C" w:rsidP="0006198B">
      <w:pPr>
        <w:spacing w:line="360" w:lineRule="auto"/>
        <w:jc w:val="both"/>
        <w:rPr>
          <w:rFonts w:ascii="Arial" w:hAnsi="Arial" w:cs="Arial"/>
          <w:sz w:val="22"/>
          <w:szCs w:val="18"/>
        </w:rPr>
      </w:pPr>
      <w:r>
        <w:rPr>
          <w:rFonts w:ascii="Arial" w:hAnsi="Arial"/>
          <w:sz w:val="22"/>
          <w:szCs w:val="18"/>
        </w:rPr>
        <w:t xml:space="preserve">All the new products in the MB Building Kit System can be found online at </w:t>
      </w:r>
      <w:hyperlink r:id="rId10" w:history="1">
        <w:r w:rsidRPr="00C56157">
          <w:rPr>
            <w:rStyle w:val="Hyperlink"/>
            <w:rFonts w:ascii="Arial" w:hAnsi="Arial" w:cs="Arial"/>
            <w:sz w:val="22"/>
            <w:szCs w:val="22"/>
          </w:rPr>
          <w:t>https:product.item24.de/en/products/product-catalogue/products/mb-building-kit-system-1001544168/</w:t>
        </w:r>
      </w:hyperlink>
    </w:p>
    <w:p w:rsidR="00D9284C" w:rsidRDefault="00D9284C" w:rsidP="0006198B">
      <w:pPr>
        <w:spacing w:line="360" w:lineRule="auto"/>
        <w:jc w:val="both"/>
        <w:rPr>
          <w:rFonts w:ascii="Arial" w:hAnsi="Arial" w:cs="Arial"/>
          <w:sz w:val="22"/>
          <w:szCs w:val="18"/>
          <w:lang w:eastAsia="en-US"/>
        </w:rPr>
      </w:pPr>
    </w:p>
    <w:p w:rsidR="0006198B" w:rsidRDefault="0006198B" w:rsidP="00311B91">
      <w:pPr>
        <w:spacing w:line="360" w:lineRule="auto"/>
        <w:jc w:val="both"/>
        <w:rPr>
          <w:rFonts w:ascii="Arial" w:hAnsi="Arial" w:cs="Arial"/>
          <w:sz w:val="22"/>
          <w:szCs w:val="18"/>
          <w:lang w:eastAsia="en-US"/>
        </w:rPr>
      </w:pPr>
    </w:p>
    <w:p w:rsidR="00684317" w:rsidRDefault="00684317"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sidRPr="00C56157">
        <w:rPr>
          <w:rFonts w:ascii="Arial" w:hAnsi="Arial"/>
          <w:sz w:val="22"/>
          <w:szCs w:val="18"/>
        </w:rPr>
        <w:t>3,5</w:t>
      </w:r>
      <w:r w:rsidR="00C56157" w:rsidRPr="00C56157">
        <w:rPr>
          <w:rFonts w:ascii="Arial" w:hAnsi="Arial"/>
          <w:sz w:val="22"/>
          <w:szCs w:val="18"/>
        </w:rPr>
        <w:t>01</w:t>
      </w:r>
      <w:r>
        <w:rPr>
          <w:rFonts w:ascii="Arial" w:hAnsi="Arial"/>
          <w:sz w:val="22"/>
          <w:szCs w:val="18"/>
        </w:rPr>
        <w:t xml:space="preserve"> characters including spaces</w:t>
      </w: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C56157">
        <w:rPr>
          <w:rFonts w:ascii="Arial" w:hAnsi="Arial"/>
          <w:sz w:val="22"/>
          <w:szCs w:val="18"/>
        </w:rPr>
        <w:tab/>
        <w:t>31</w:t>
      </w:r>
      <w:r>
        <w:rPr>
          <w:rFonts w:ascii="Arial" w:hAnsi="Arial"/>
          <w:sz w:val="22"/>
          <w:szCs w:val="18"/>
        </w:rPr>
        <w:t xml:space="preserve"> May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t>5</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225C6D" w:rsidRDefault="00311B91" w:rsidP="00311B91">
      <w:pPr>
        <w:spacing w:line="360" w:lineRule="auto"/>
        <w:rPr>
          <w:rFonts w:ascii="Arial" w:hAnsi="Arial" w:cs="Arial"/>
          <w:sz w:val="22"/>
          <w:szCs w:val="18"/>
        </w:rPr>
      </w:pPr>
      <w:r>
        <w:rPr>
          <w:rFonts w:ascii="Arial" w:hAnsi="Arial"/>
          <w:b/>
          <w:sz w:val="22"/>
          <w:szCs w:val="18"/>
        </w:rPr>
        <w:t xml:space="preserve">Caption 1: </w:t>
      </w:r>
      <w:r>
        <w:rPr>
          <w:rFonts w:ascii="Arial" w:hAnsi="Arial"/>
          <w:sz w:val="22"/>
          <w:szCs w:val="18"/>
        </w:rPr>
        <w:t>Thanks to its unbroken surface, the new Profile 8 NO light is particularly easy to clean. A hand-held tool such as the item T-Slot Opener 8NO is all that’s needed to open the groove cover.</w:t>
      </w:r>
    </w:p>
    <w:p w:rsidR="002136B8" w:rsidRDefault="002136B8" w:rsidP="00311B91">
      <w:pPr>
        <w:spacing w:line="360" w:lineRule="auto"/>
        <w:rPr>
          <w:rFonts w:ascii="Arial" w:hAnsi="Arial" w:cs="Arial"/>
          <w:sz w:val="22"/>
          <w:szCs w:val="18"/>
          <w:lang w:eastAsia="en-US"/>
        </w:rPr>
      </w:pPr>
    </w:p>
    <w:p w:rsidR="00A159F7" w:rsidRDefault="002136B8" w:rsidP="00A159F7">
      <w:pPr>
        <w:spacing w:line="360" w:lineRule="auto"/>
        <w:jc w:val="both"/>
        <w:rPr>
          <w:rFonts w:ascii="Arial" w:hAnsi="Arial" w:cs="Arial"/>
          <w:sz w:val="22"/>
          <w:szCs w:val="18"/>
        </w:rPr>
      </w:pPr>
      <w:r>
        <w:rPr>
          <w:rFonts w:ascii="Arial" w:hAnsi="Arial"/>
          <w:b/>
          <w:sz w:val="22"/>
          <w:szCs w:val="18"/>
        </w:rPr>
        <w:t>Caption 2:</w:t>
      </w:r>
      <w:r>
        <w:rPr>
          <w:rFonts w:ascii="Arial" w:hAnsi="Arial"/>
          <w:sz w:val="22"/>
          <w:szCs w:val="18"/>
        </w:rPr>
        <w:t xml:space="preserve"> The fastening screws are concealed on the outside of the door by the profiles and are covered over when the door is closed, making them inaccessible. This ensures door frames exhibit smooth surfaces without visible screws, openings or fixing components. </w:t>
      </w:r>
    </w:p>
    <w:p w:rsidR="00311B91" w:rsidRDefault="00311B91" w:rsidP="00311B91">
      <w:pPr>
        <w:spacing w:line="360" w:lineRule="auto"/>
        <w:rPr>
          <w:rFonts w:ascii="Arial" w:hAnsi="Arial" w:cs="Arial"/>
          <w:sz w:val="22"/>
          <w:szCs w:val="18"/>
          <w:lang w:eastAsia="en-US"/>
        </w:rPr>
      </w:pPr>
    </w:p>
    <w:p w:rsidR="00503249" w:rsidRDefault="00503249" w:rsidP="00311B91">
      <w:pPr>
        <w:spacing w:line="360" w:lineRule="auto"/>
        <w:rPr>
          <w:rFonts w:ascii="Arial" w:hAnsi="Arial" w:cs="Arial"/>
          <w:sz w:val="22"/>
          <w:szCs w:val="18"/>
        </w:rPr>
      </w:pPr>
      <w:r>
        <w:rPr>
          <w:rFonts w:ascii="Arial" w:hAnsi="Arial"/>
          <w:b/>
          <w:sz w:val="22"/>
          <w:szCs w:val="18"/>
        </w:rPr>
        <w:t>Captions 3 and 4:</w:t>
      </w:r>
      <w:r>
        <w:rPr>
          <w:rFonts w:ascii="Arial" w:hAnsi="Arial"/>
          <w:sz w:val="22"/>
          <w:szCs w:val="18"/>
        </w:rPr>
        <w:t xml:space="preserve"> item now offers the new Angle Bracket 8 40 St and Bracket 8 80x40 flat St made of steel as a simple means of quickly reinforcing profile connections.</w:t>
      </w:r>
    </w:p>
    <w:p w:rsidR="00503249" w:rsidRDefault="00503249" w:rsidP="00311B91">
      <w:pPr>
        <w:spacing w:line="360" w:lineRule="auto"/>
        <w:rPr>
          <w:rFonts w:ascii="Arial" w:hAnsi="Arial" w:cs="Arial"/>
          <w:sz w:val="22"/>
          <w:szCs w:val="18"/>
          <w:lang w:eastAsia="en-US"/>
        </w:rPr>
      </w:pPr>
    </w:p>
    <w:p w:rsidR="00503249" w:rsidRDefault="00503249" w:rsidP="00311B91">
      <w:pPr>
        <w:spacing w:line="360" w:lineRule="auto"/>
        <w:rPr>
          <w:rFonts w:ascii="Arial" w:hAnsi="Arial" w:cs="Arial"/>
          <w:sz w:val="22"/>
          <w:szCs w:val="18"/>
        </w:rPr>
      </w:pPr>
      <w:r>
        <w:rPr>
          <w:rFonts w:ascii="Arial" w:hAnsi="Arial"/>
          <w:b/>
          <w:sz w:val="22"/>
          <w:szCs w:val="18"/>
        </w:rPr>
        <w:t>Caption 5:</w:t>
      </w:r>
      <w:r>
        <w:rPr>
          <w:rFonts w:ascii="Arial" w:hAnsi="Arial"/>
          <w:sz w:val="22"/>
          <w:szCs w:val="18"/>
        </w:rPr>
        <w:t xml:space="preserve"> The new Base Plate 8, white aluminium and Knuckle Foot D80, M12x100, white aluminium ensure constructions and frames are always held securely in place and have an optimum footing.</w:t>
      </w:r>
    </w:p>
    <w:p w:rsidR="008D3EDC" w:rsidRDefault="008D3EDC" w:rsidP="00311B91">
      <w:pPr>
        <w:spacing w:line="360" w:lineRule="auto"/>
        <w:rPr>
          <w:rFonts w:ascii="Arial" w:hAnsi="Arial" w:cs="Arial"/>
          <w:sz w:val="22"/>
          <w:szCs w:val="18"/>
          <w:lang w:eastAsia="en-US"/>
        </w:rPr>
      </w:pPr>
    </w:p>
    <w:p w:rsidR="00311B91" w:rsidRPr="00311B91" w:rsidRDefault="00311B91" w:rsidP="003E1781">
      <w:pPr>
        <w:spacing w:line="360" w:lineRule="auto"/>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rsidR="00311B91" w:rsidRPr="00311B91" w:rsidRDefault="00311B91" w:rsidP="00311B91">
      <w:pPr>
        <w:spacing w:line="360" w:lineRule="auto"/>
        <w:jc w:val="both"/>
        <w:rPr>
          <w:rFonts w:ascii="Arial" w:hAnsi="Arial"/>
          <w:bCs/>
          <w:sz w:val="18"/>
        </w:rPr>
      </w:pPr>
      <w:proofErr w:type="gramStart"/>
      <w:r>
        <w:rPr>
          <w:rFonts w:ascii="Arial" w:hAnsi="Arial"/>
          <w:bCs/>
          <w:sz w:val="18"/>
        </w:rPr>
        <w:t>item</w:t>
      </w:r>
      <w:proofErr w:type="gramEnd"/>
      <w:r>
        <w:rPr>
          <w:rFonts w:ascii="Arial" w:hAnsi="Arial"/>
          <w:bCs/>
          <w:sz w:val="18"/>
        </w:rPr>
        <w:t xml:space="preserve">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Hezinger • item </w:t>
      </w:r>
      <w:proofErr w:type="spellStart"/>
      <w:r>
        <w:rPr>
          <w:rFonts w:ascii="Arial" w:hAnsi="Arial"/>
          <w:sz w:val="22"/>
          <w:szCs w:val="18"/>
        </w:rPr>
        <w:t>Industrietechnik</w:t>
      </w:r>
      <w:proofErr w:type="spellEnd"/>
      <w:r>
        <w:rPr>
          <w:rFonts w:ascii="Arial" w:hAnsi="Arial"/>
          <w:sz w:val="22"/>
          <w:szCs w:val="18"/>
        </w:rPr>
        <w:t xml:space="preserve"> GmbH</w:t>
      </w:r>
    </w:p>
    <w:p w:rsidR="00311B91" w:rsidRPr="004D291B" w:rsidRDefault="00311B91" w:rsidP="00311B91">
      <w:pPr>
        <w:spacing w:line="360" w:lineRule="auto"/>
        <w:jc w:val="both"/>
        <w:rPr>
          <w:rFonts w:ascii="Arial" w:hAnsi="Arial" w:cs="Arial"/>
          <w:sz w:val="22"/>
          <w:szCs w:val="18"/>
          <w:lang w:val="de-DE"/>
        </w:rPr>
      </w:pPr>
      <w:r w:rsidRPr="004D291B">
        <w:rPr>
          <w:rFonts w:ascii="Arial" w:hAnsi="Arial"/>
          <w:sz w:val="22"/>
          <w:szCs w:val="18"/>
          <w:lang w:val="de-DE"/>
        </w:rPr>
        <w:t>Friedenstrasse 107 - 109 • 42699 Solingen • Germany</w:t>
      </w:r>
    </w:p>
    <w:p w:rsidR="00311B91" w:rsidRPr="004D291B" w:rsidRDefault="00311B91" w:rsidP="00311B91">
      <w:pPr>
        <w:spacing w:line="360" w:lineRule="auto"/>
        <w:jc w:val="both"/>
        <w:rPr>
          <w:rFonts w:ascii="Arial" w:hAnsi="Arial" w:cs="Arial"/>
          <w:sz w:val="22"/>
          <w:szCs w:val="18"/>
          <w:lang w:val="de-DE"/>
        </w:rPr>
      </w:pPr>
      <w:r w:rsidRPr="004D291B">
        <w:rPr>
          <w:rFonts w:ascii="Arial" w:hAnsi="Arial"/>
          <w:sz w:val="22"/>
          <w:szCs w:val="18"/>
          <w:lang w:val="de-DE"/>
        </w:rPr>
        <w:t>Tel.: +49 212 65 80 5188 • Fax: +49 212 65 80 310</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1" w:history="1">
        <w:r>
          <w:rPr>
            <w:rFonts w:ascii="Arial" w:hAnsi="Arial"/>
            <w:sz w:val="22"/>
            <w:szCs w:val="18"/>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rsidR="00AC2C6E" w:rsidRPr="000712BE" w:rsidRDefault="00311B91" w:rsidP="000712BE">
      <w:pPr>
        <w:spacing w:line="360" w:lineRule="auto"/>
        <w:jc w:val="both"/>
        <w:rPr>
          <w:rFonts w:ascii="Arial" w:hAnsi="Arial" w:cs="Arial"/>
          <w:sz w:val="22"/>
          <w:szCs w:val="18"/>
        </w:rPr>
      </w:pPr>
      <w:r>
        <w:rPr>
          <w:rFonts w:ascii="Arial" w:hAnsi="Arial"/>
          <w:sz w:val="22"/>
          <w:szCs w:val="18"/>
        </w:rPr>
        <w:t xml:space="preserve">Email: jl@additiv-pr.de • Internet: </w:t>
      </w:r>
      <w:hyperlink r:id="rId12" w:history="1">
        <w:r>
          <w:rPr>
            <w:rFonts w:ascii="Arial" w:hAnsi="Arial"/>
            <w:sz w:val="22"/>
            <w:szCs w:val="18"/>
          </w:rPr>
          <w:t>www.additiv-pr.de</w:t>
        </w:r>
      </w:hyperlink>
      <w:r>
        <w:rPr>
          <w:rFonts w:ascii="Arial" w:hAnsi="Arial"/>
          <w:sz w:val="22"/>
          <w:szCs w:val="18"/>
        </w:rPr>
        <w:t>/maschinenbau</w:t>
      </w:r>
    </w:p>
    <w:sectPr w:rsidR="00AC2C6E" w:rsidRPr="000712BE" w:rsidSect="001F0EC7">
      <w:headerReference w:type="even" r:id="rId13"/>
      <w:headerReference w:type="default" r:id="rId14"/>
      <w:footerReference w:type="even" r:id="rId15"/>
      <w:footerReference w:type="default" r:id="rId16"/>
      <w:headerReference w:type="first" r:id="rId17"/>
      <w:footerReference w:type="first" r:id="rId18"/>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24" w:rsidRDefault="0074742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35" w:rsidRDefault="00A17D35">
    <w:pPr>
      <w:pStyle w:val="Fuzeile"/>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24" w:rsidRDefault="0074742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24" w:rsidRDefault="007474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35" w:rsidRDefault="008F3375">
    <w:pPr>
      <w:pStyle w:val="Kopfzeile"/>
    </w:pPr>
    <w:r>
      <w:rPr>
        <w:noProof/>
        <w:lang w:val="de-DE"/>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24" w:rsidRDefault="0074742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nsid w:val="01A37FE9"/>
    <w:multiLevelType w:val="hybridMultilevel"/>
    <w:tmpl w:val="374E263A"/>
    <w:lvl w:ilvl="0" w:tplc="250A6140">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num>
  <w:num w:numId="15">
    <w:abstractNumId w:val="1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44"/>
    <w:rsid w:val="00015D86"/>
    <w:rsid w:val="00016659"/>
    <w:rsid w:val="000565A4"/>
    <w:rsid w:val="0005665C"/>
    <w:rsid w:val="0006198B"/>
    <w:rsid w:val="00070621"/>
    <w:rsid w:val="000712BE"/>
    <w:rsid w:val="000763CD"/>
    <w:rsid w:val="000D3085"/>
    <w:rsid w:val="000D3EDE"/>
    <w:rsid w:val="000D64FB"/>
    <w:rsid w:val="000E47B5"/>
    <w:rsid w:val="000F294C"/>
    <w:rsid w:val="000F4FAD"/>
    <w:rsid w:val="00113266"/>
    <w:rsid w:val="00121D6D"/>
    <w:rsid w:val="00122E87"/>
    <w:rsid w:val="00127C92"/>
    <w:rsid w:val="00137D5E"/>
    <w:rsid w:val="0015095A"/>
    <w:rsid w:val="00160D46"/>
    <w:rsid w:val="00175F65"/>
    <w:rsid w:val="00175F98"/>
    <w:rsid w:val="0019125A"/>
    <w:rsid w:val="00195E21"/>
    <w:rsid w:val="00197BB0"/>
    <w:rsid w:val="001C124D"/>
    <w:rsid w:val="001F0EC7"/>
    <w:rsid w:val="001F2B86"/>
    <w:rsid w:val="002136B8"/>
    <w:rsid w:val="00214EB4"/>
    <w:rsid w:val="00223F44"/>
    <w:rsid w:val="00225C6D"/>
    <w:rsid w:val="00251148"/>
    <w:rsid w:val="00253C1C"/>
    <w:rsid w:val="0025562D"/>
    <w:rsid w:val="0028039D"/>
    <w:rsid w:val="002834A1"/>
    <w:rsid w:val="0028619B"/>
    <w:rsid w:val="002C7DCF"/>
    <w:rsid w:val="002E2403"/>
    <w:rsid w:val="002F2AA5"/>
    <w:rsid w:val="00311B91"/>
    <w:rsid w:val="003226B3"/>
    <w:rsid w:val="00394075"/>
    <w:rsid w:val="003965AA"/>
    <w:rsid w:val="003C0F0F"/>
    <w:rsid w:val="003C35F5"/>
    <w:rsid w:val="003C4825"/>
    <w:rsid w:val="003C6F56"/>
    <w:rsid w:val="003D1C34"/>
    <w:rsid w:val="003E1781"/>
    <w:rsid w:val="003F5125"/>
    <w:rsid w:val="004072BE"/>
    <w:rsid w:val="00410949"/>
    <w:rsid w:val="0042726A"/>
    <w:rsid w:val="00454874"/>
    <w:rsid w:val="0046042A"/>
    <w:rsid w:val="0049354E"/>
    <w:rsid w:val="004A445A"/>
    <w:rsid w:val="004B0D5F"/>
    <w:rsid w:val="004B6BF3"/>
    <w:rsid w:val="004C749B"/>
    <w:rsid w:val="004D291B"/>
    <w:rsid w:val="004D6CF1"/>
    <w:rsid w:val="004E2308"/>
    <w:rsid w:val="004F4994"/>
    <w:rsid w:val="004F4FEE"/>
    <w:rsid w:val="004F5C26"/>
    <w:rsid w:val="00502B5C"/>
    <w:rsid w:val="00503249"/>
    <w:rsid w:val="00522643"/>
    <w:rsid w:val="0055457D"/>
    <w:rsid w:val="00555C80"/>
    <w:rsid w:val="0058271B"/>
    <w:rsid w:val="005915CA"/>
    <w:rsid w:val="005D52E5"/>
    <w:rsid w:val="006131E4"/>
    <w:rsid w:val="00624250"/>
    <w:rsid w:val="006243CF"/>
    <w:rsid w:val="00632979"/>
    <w:rsid w:val="00636375"/>
    <w:rsid w:val="00677F23"/>
    <w:rsid w:val="00684317"/>
    <w:rsid w:val="00684871"/>
    <w:rsid w:val="00694444"/>
    <w:rsid w:val="006C1C20"/>
    <w:rsid w:val="006C3431"/>
    <w:rsid w:val="006C583D"/>
    <w:rsid w:val="006C58A3"/>
    <w:rsid w:val="006D5E03"/>
    <w:rsid w:val="006F5EF3"/>
    <w:rsid w:val="007040C2"/>
    <w:rsid w:val="00710D74"/>
    <w:rsid w:val="0071356F"/>
    <w:rsid w:val="00714CDA"/>
    <w:rsid w:val="00722E59"/>
    <w:rsid w:val="007303BB"/>
    <w:rsid w:val="00747424"/>
    <w:rsid w:val="007554AC"/>
    <w:rsid w:val="007704C4"/>
    <w:rsid w:val="0078322B"/>
    <w:rsid w:val="007B3316"/>
    <w:rsid w:val="007D53F2"/>
    <w:rsid w:val="007E14D7"/>
    <w:rsid w:val="00801202"/>
    <w:rsid w:val="00856C68"/>
    <w:rsid w:val="00864A22"/>
    <w:rsid w:val="008C4CAA"/>
    <w:rsid w:val="008C779A"/>
    <w:rsid w:val="008D3EDC"/>
    <w:rsid w:val="008E30B1"/>
    <w:rsid w:val="008F3375"/>
    <w:rsid w:val="008F4748"/>
    <w:rsid w:val="008F6488"/>
    <w:rsid w:val="00915A4E"/>
    <w:rsid w:val="00932A4F"/>
    <w:rsid w:val="0093652E"/>
    <w:rsid w:val="009524D3"/>
    <w:rsid w:val="00975646"/>
    <w:rsid w:val="009A17FE"/>
    <w:rsid w:val="009A20EE"/>
    <w:rsid w:val="009B0A06"/>
    <w:rsid w:val="009B31A5"/>
    <w:rsid w:val="009C2F18"/>
    <w:rsid w:val="009D5574"/>
    <w:rsid w:val="009F326D"/>
    <w:rsid w:val="009F58A8"/>
    <w:rsid w:val="00A159F7"/>
    <w:rsid w:val="00A17D35"/>
    <w:rsid w:val="00A20276"/>
    <w:rsid w:val="00A41864"/>
    <w:rsid w:val="00A6513D"/>
    <w:rsid w:val="00A84F42"/>
    <w:rsid w:val="00A8504F"/>
    <w:rsid w:val="00A9209E"/>
    <w:rsid w:val="00AC2C6E"/>
    <w:rsid w:val="00AC4E79"/>
    <w:rsid w:val="00AD5472"/>
    <w:rsid w:val="00B1284C"/>
    <w:rsid w:val="00B33D6F"/>
    <w:rsid w:val="00B465DA"/>
    <w:rsid w:val="00B64EE6"/>
    <w:rsid w:val="00B664F6"/>
    <w:rsid w:val="00B906C1"/>
    <w:rsid w:val="00B94B34"/>
    <w:rsid w:val="00BC603F"/>
    <w:rsid w:val="00BD5699"/>
    <w:rsid w:val="00BE2DB9"/>
    <w:rsid w:val="00BE4854"/>
    <w:rsid w:val="00C106F3"/>
    <w:rsid w:val="00C23556"/>
    <w:rsid w:val="00C33059"/>
    <w:rsid w:val="00C42E1A"/>
    <w:rsid w:val="00C56157"/>
    <w:rsid w:val="00C64685"/>
    <w:rsid w:val="00C716D4"/>
    <w:rsid w:val="00C71BC3"/>
    <w:rsid w:val="00C77ACF"/>
    <w:rsid w:val="00CC1DCB"/>
    <w:rsid w:val="00CC26EF"/>
    <w:rsid w:val="00CC6306"/>
    <w:rsid w:val="00CF1E91"/>
    <w:rsid w:val="00D24652"/>
    <w:rsid w:val="00D36CE2"/>
    <w:rsid w:val="00D36DC6"/>
    <w:rsid w:val="00D4470D"/>
    <w:rsid w:val="00D8694B"/>
    <w:rsid w:val="00D9284C"/>
    <w:rsid w:val="00DC2D7F"/>
    <w:rsid w:val="00DD6220"/>
    <w:rsid w:val="00DF1773"/>
    <w:rsid w:val="00DF3244"/>
    <w:rsid w:val="00DF394A"/>
    <w:rsid w:val="00E22716"/>
    <w:rsid w:val="00E421FD"/>
    <w:rsid w:val="00E74BE1"/>
    <w:rsid w:val="00E809D2"/>
    <w:rsid w:val="00E84D34"/>
    <w:rsid w:val="00E84EF0"/>
    <w:rsid w:val="00ED01AE"/>
    <w:rsid w:val="00ED4D0C"/>
    <w:rsid w:val="00EE40B6"/>
    <w:rsid w:val="00EE466B"/>
    <w:rsid w:val="00EE4FB6"/>
    <w:rsid w:val="00EF2D69"/>
    <w:rsid w:val="00F02722"/>
    <w:rsid w:val="00F14921"/>
    <w:rsid w:val="00F14AF6"/>
    <w:rsid w:val="00F15820"/>
    <w:rsid w:val="00F228A1"/>
    <w:rsid w:val="00F37BAB"/>
    <w:rsid w:val="00F60DC9"/>
    <w:rsid w:val="00FA2BC9"/>
    <w:rsid w:val="00FA7CA0"/>
    <w:rsid w:val="00FB3D97"/>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customStyle="1" w:styleId="UnresolvedMention">
    <w:name w:val="Unresolved Mention"/>
    <w:basedOn w:val="Absatz-Standardschriftart"/>
    <w:uiPriority w:val="99"/>
    <w:semiHidden/>
    <w:unhideWhenUsed/>
    <w:rsid w:val="009D5574"/>
    <w:rPr>
      <w:color w:val="605E5C"/>
      <w:shd w:val="clear" w:color="auto" w:fill="E1DFDD"/>
    </w:rPr>
  </w:style>
  <w:style w:type="character" w:styleId="Kommentarzeichen">
    <w:name w:val="annotation referen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customStyle="1" w:styleId="UnresolvedMention">
    <w:name w:val="Unresolved Mention"/>
    <w:basedOn w:val="Absatz-Standardschriftart"/>
    <w:uiPriority w:val="99"/>
    <w:semiHidden/>
    <w:unhideWhenUsed/>
    <w:rsid w:val="009D5574"/>
    <w:rPr>
      <w:color w:val="605E5C"/>
      <w:shd w:val="clear" w:color="auto" w:fill="E1DFDD"/>
    </w:rPr>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10566064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ditiv-pr.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em24.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roduct.item24.de/en/products/product-catalogue/products/mb-building-kit-system-100154416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oduct.item24.de/en/products/product-catalogue/products/mb-building-kit-system-100154416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6459-494F-4A29-8A2C-33A06180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5338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2019-05-31T07:29:00Z</dcterms:created>
  <dcterms:modified xsi:type="dcterms:W3CDTF">2019-05-31T07:29:00Z</dcterms:modified>
</cp:coreProperties>
</file>